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3CE35708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 xml:space="preserve">CORRIGENDUM - </w:t>
      </w:r>
      <w:r w:rsidR="007E32D0">
        <w:rPr>
          <w:rFonts w:ascii="Arial" w:hAnsi="Arial" w:cs="Arial"/>
          <w:b/>
          <w:u w:val="single"/>
        </w:rPr>
        <w:t>I</w:t>
      </w:r>
      <w:r w:rsidRPr="00A545F4">
        <w:rPr>
          <w:rFonts w:ascii="Arial" w:hAnsi="Arial" w:cs="Arial"/>
          <w:b/>
          <w:u w:val="single"/>
        </w:rPr>
        <w:t>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2DA58613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 xml:space="preserve">for procurement of </w:t>
      </w:r>
      <w:r w:rsidRPr="007E32D0">
        <w:rPr>
          <w:rFonts w:ascii="Arial" w:hAnsi="Arial" w:cs="Arial"/>
          <w:b/>
          <w:bCs/>
        </w:rPr>
        <w:t>“</w:t>
      </w:r>
      <w:r w:rsidR="007E32D0" w:rsidRPr="007E32D0">
        <w:rPr>
          <w:rFonts w:ascii="Times New Roman" w:hAnsi="Times New Roman" w:cs="Times New Roman"/>
          <w:b/>
          <w:bCs/>
        </w:rPr>
        <w:t>3 Part CBC</w:t>
      </w:r>
      <w:r w:rsidRPr="007E32D0">
        <w:rPr>
          <w:rFonts w:ascii="Arial" w:hAnsi="Arial" w:cs="Arial"/>
          <w:b/>
          <w:bCs/>
        </w:rPr>
        <w:t>”</w:t>
      </w:r>
      <w:r w:rsidRPr="006408E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7E32D0">
        <w:rPr>
          <w:rFonts w:ascii="Arial" w:hAnsi="Arial" w:cs="Arial"/>
          <w:b/>
          <w:color w:val="000000"/>
          <w:sz w:val="21"/>
          <w:szCs w:val="21"/>
        </w:rPr>
        <w:t>14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="00F57E88">
        <w:rPr>
          <w:rFonts w:ascii="Arial" w:hAnsi="Arial" w:cs="Arial"/>
        </w:rPr>
        <w:t xml:space="preserve"> &amp; CPP Portal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5C5A0EBB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4F254CB5" w:rsidR="0004525B" w:rsidRPr="00E058F1" w:rsidRDefault="007E32D0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F57E88"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7DA981C2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4CAFAF9A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E32D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B955" w14:textId="77777777" w:rsidR="00304D08" w:rsidRDefault="00304D08" w:rsidP="0023525B">
      <w:pPr>
        <w:spacing w:after="0" w:line="240" w:lineRule="auto"/>
      </w:pPr>
      <w:r>
        <w:separator/>
      </w:r>
    </w:p>
  </w:endnote>
  <w:endnote w:type="continuationSeparator" w:id="0">
    <w:p w14:paraId="79B7C515" w14:textId="77777777" w:rsidR="00304D08" w:rsidRDefault="00304D08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94F1" w14:textId="77777777" w:rsidR="00304D08" w:rsidRDefault="00304D08" w:rsidP="0023525B">
      <w:pPr>
        <w:spacing w:after="0" w:line="240" w:lineRule="auto"/>
      </w:pPr>
      <w:r>
        <w:separator/>
      </w:r>
    </w:p>
  </w:footnote>
  <w:footnote w:type="continuationSeparator" w:id="0">
    <w:p w14:paraId="2A775CBA" w14:textId="77777777" w:rsidR="00304D08" w:rsidRDefault="00304D08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111DD"/>
    <w:rsid w:val="001315CE"/>
    <w:rsid w:val="001371FE"/>
    <w:rsid w:val="00160D0D"/>
    <w:rsid w:val="00176006"/>
    <w:rsid w:val="001C2896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04D08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08EA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E32D0"/>
    <w:rsid w:val="007F347F"/>
    <w:rsid w:val="00833D2E"/>
    <w:rsid w:val="00852C46"/>
    <w:rsid w:val="008729C1"/>
    <w:rsid w:val="008B3829"/>
    <w:rsid w:val="008C3064"/>
    <w:rsid w:val="008E1EBF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05726"/>
    <w:rsid w:val="00A27671"/>
    <w:rsid w:val="00A63433"/>
    <w:rsid w:val="00A809AD"/>
    <w:rsid w:val="00AC32FD"/>
    <w:rsid w:val="00AD0646"/>
    <w:rsid w:val="00AF3E1C"/>
    <w:rsid w:val="00AF51D6"/>
    <w:rsid w:val="00B078A6"/>
    <w:rsid w:val="00B26A4C"/>
    <w:rsid w:val="00B37006"/>
    <w:rsid w:val="00BC5F0C"/>
    <w:rsid w:val="00BC66DB"/>
    <w:rsid w:val="00BD3739"/>
    <w:rsid w:val="00BE2B71"/>
    <w:rsid w:val="00C46CD3"/>
    <w:rsid w:val="00C52BD8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3B87"/>
    <w:rsid w:val="00F028B7"/>
    <w:rsid w:val="00F148AD"/>
    <w:rsid w:val="00F57E88"/>
    <w:rsid w:val="00F70B32"/>
    <w:rsid w:val="00F82E8D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12</cp:revision>
  <cp:lastPrinted>2023-07-14T09:32:00Z</cp:lastPrinted>
  <dcterms:created xsi:type="dcterms:W3CDTF">2022-10-07T09:43:00Z</dcterms:created>
  <dcterms:modified xsi:type="dcterms:W3CDTF">2023-07-14T09:32:00Z</dcterms:modified>
</cp:coreProperties>
</file>